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6B755" w14:textId="77777777" w:rsidR="004C732D" w:rsidRPr="004C732D" w:rsidRDefault="004C732D" w:rsidP="004C732D">
      <w:pPr>
        <w:shd w:val="clear" w:color="auto" w:fill="FFFFFF"/>
        <w:spacing w:before="120" w:after="150" w:line="540" w:lineRule="atLeast"/>
        <w:outlineLvl w:val="1"/>
        <w:rPr>
          <w:rFonts w:cs="Arial"/>
          <w:b/>
          <w:bCs/>
          <w:color w:val="333333"/>
          <w:sz w:val="48"/>
          <w:szCs w:val="48"/>
        </w:rPr>
      </w:pPr>
      <w:r w:rsidRPr="004C732D">
        <w:rPr>
          <w:rFonts w:cs="Arial"/>
          <w:b/>
          <w:bCs/>
          <w:color w:val="333333"/>
          <w:sz w:val="48"/>
          <w:szCs w:val="48"/>
        </w:rPr>
        <w:t xml:space="preserve">Guided Missile Submarines </w:t>
      </w:r>
      <w:r w:rsidR="00DD3383">
        <w:rPr>
          <w:rFonts w:cs="Arial"/>
          <w:b/>
          <w:bCs/>
          <w:color w:val="333333"/>
          <w:sz w:val="48"/>
          <w:szCs w:val="48"/>
        </w:rPr>
        <w:t>Guam</w:t>
      </w:r>
    </w:p>
    <w:p w14:paraId="1C73D9C0"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t xml:space="preserve">The 1994 Nuclear Posture Review determined that the United States needed only 14 of its 18 SSBNs to meet the nation's strategic force needs. Therefore, the Navy decided to transform four </w:t>
      </w:r>
      <w:r w:rsidRPr="001D096E">
        <w:rPr>
          <w:rFonts w:cs="Arial"/>
          <w:i/>
          <w:iCs/>
          <w:color w:val="444444"/>
          <w:sz w:val="22"/>
          <w:szCs w:val="22"/>
        </w:rPr>
        <w:t>Ohio</w:t>
      </w:r>
      <w:r w:rsidRPr="001D096E">
        <w:rPr>
          <w:rFonts w:cs="Arial"/>
          <w:color w:val="444444"/>
          <w:sz w:val="22"/>
          <w:szCs w:val="22"/>
        </w:rPr>
        <w:t>-class submarines into conventional land attack and SOF platforms. This allowed the Navy to leverage existing submarine technology while at the same time expanding capability to meet the current and future needs of U.S. combatant commanders.</w:t>
      </w:r>
    </w:p>
    <w:p w14:paraId="23755220"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t xml:space="preserve">The SSGN Program Office refueled and converted four SSBNs into SSGNs in a little more than five years at a significantly lower cost and less time than building a new platform. USS </w:t>
      </w:r>
      <w:r w:rsidRPr="001D096E">
        <w:rPr>
          <w:rFonts w:cs="Arial"/>
          <w:i/>
          <w:iCs/>
          <w:color w:val="444444"/>
          <w:sz w:val="22"/>
          <w:szCs w:val="22"/>
        </w:rPr>
        <w:t>Ohio</w:t>
      </w:r>
      <w:r w:rsidRPr="001D096E">
        <w:rPr>
          <w:rFonts w:cs="Arial"/>
          <w:color w:val="444444"/>
          <w:sz w:val="22"/>
          <w:szCs w:val="22"/>
        </w:rPr>
        <w:t xml:space="preserve"> (SSGN 726) entered the shipyard on Nov. 15, 2002, completed conversion in December 2005 and deployed for the first time in October 2007. USS </w:t>
      </w:r>
      <w:r w:rsidRPr="001D096E">
        <w:rPr>
          <w:rFonts w:cs="Arial"/>
          <w:i/>
          <w:iCs/>
          <w:color w:val="444444"/>
          <w:sz w:val="22"/>
          <w:szCs w:val="22"/>
        </w:rPr>
        <w:t>Florida</w:t>
      </w:r>
      <w:r w:rsidRPr="001D096E">
        <w:rPr>
          <w:rFonts w:cs="Arial"/>
          <w:color w:val="444444"/>
          <w:sz w:val="22"/>
          <w:szCs w:val="22"/>
        </w:rPr>
        <w:t xml:space="preserve"> (SSGN 728) commenced its refueling and conversion in August 2003 and returned to the fleet in April 2006. USS </w:t>
      </w:r>
      <w:r w:rsidRPr="001D096E">
        <w:rPr>
          <w:rFonts w:cs="Arial"/>
          <w:i/>
          <w:iCs/>
          <w:color w:val="444444"/>
          <w:sz w:val="22"/>
          <w:szCs w:val="22"/>
        </w:rPr>
        <w:t>Michigan</w:t>
      </w:r>
      <w:r w:rsidRPr="001D096E">
        <w:rPr>
          <w:rFonts w:cs="Arial"/>
          <w:color w:val="444444"/>
          <w:sz w:val="22"/>
          <w:szCs w:val="22"/>
        </w:rPr>
        <w:t xml:space="preserve"> (SSGN 727) started its shipyard availability in October 2004 and delivered in November 2006. USS </w:t>
      </w:r>
      <w:r w:rsidRPr="001D096E">
        <w:rPr>
          <w:rFonts w:cs="Arial"/>
          <w:i/>
          <w:iCs/>
          <w:color w:val="444444"/>
          <w:sz w:val="22"/>
          <w:szCs w:val="22"/>
        </w:rPr>
        <w:t>Georgia</w:t>
      </w:r>
      <w:r w:rsidRPr="001D096E">
        <w:rPr>
          <w:rFonts w:cs="Arial"/>
          <w:color w:val="444444"/>
          <w:sz w:val="22"/>
          <w:szCs w:val="22"/>
        </w:rPr>
        <w:t xml:space="preserve"> (SSGN 729) completed conversion in December 2007.</w:t>
      </w:r>
    </w:p>
    <w:p w14:paraId="66DC6905"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t>The Navy entered into a unique partnership to bring the SSGN concept to fruition. All four submarines required an Engineered Refueling Overhaul (ERO) in addition to extensive conversion work. Puget Sound Naval Shipyard in Washington carried out the EROs for both Ohio and Michigan while Norfolk Naval Shipyard, located in Virginia, conducted Florida's and Georgia's refueling. The Navy awarded General Dynamics' Electric Boat the contract to convert the SSBNs into SSGNs with the company carrying out that work within the Naval Shipyards-the first time such collaboration had been conducted. This first-of-a-kind partnership has proved highly successful as the program finished on time and on cost.</w:t>
      </w:r>
    </w:p>
    <w:p w14:paraId="30B5C507"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t>Combined, the four SSGNs represent more than half of the Submarine Force's vertical launch payload capacity with each SSGN capable of carrying up to 154 Tomahawk land-attack cruise missiles. The missiles are loaded in seven-shot Multiple-All-Up-Round Canisters (MACs) in up to 22 missile tubes. These missile tubes can also accommodate additional stowage canisters for SOF equipment, food, and other consumables to extend the submarines' ability to remain forward deployed in support of combatant commanders' tasking. The missile tubes are also able to accommodate future payloads such as new types of missiles, unmanned aerial vehicles, and unmanned undersea vehicles.</w:t>
      </w:r>
    </w:p>
    <w:p w14:paraId="485459B6"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t>The SSGNs have the capacity to host up to 66 SOF personnel at a time. Additional berthing was installed in the missile compartment to accommodate the added personnel, and other measures have been taken to extend the amount of time that the SOF forces can spend deployed aboard the SSGNs. The two forward most missile tubes were permanently converted to lock-out chambers that allow clandestine insertion and retrieval of SOF personnel. Each lock-out chamber can also accommodate a Dry Deck Shelter (</w:t>
      </w:r>
      <w:smartTag w:uri="urn:schemas-microsoft-com:office:smarttags" w:element="stockticker">
        <w:r w:rsidRPr="001D096E">
          <w:rPr>
            <w:rFonts w:cs="Arial"/>
            <w:color w:val="444444"/>
            <w:sz w:val="22"/>
            <w:szCs w:val="22"/>
          </w:rPr>
          <w:t>DDS</w:t>
        </w:r>
      </w:smartTag>
      <w:r w:rsidRPr="001D096E">
        <w:rPr>
          <w:rFonts w:cs="Arial"/>
          <w:color w:val="444444"/>
          <w:sz w:val="22"/>
          <w:szCs w:val="22"/>
        </w:rPr>
        <w:t>), enhancing the SSGNs' SOF capabilities.</w:t>
      </w:r>
    </w:p>
    <w:p w14:paraId="67026F7C"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t>During conversion, each SSGN received the Common Submarine Radio Room and two High-Data-Rate antennas for significantly enhanced communication capabilities. These additions allow each SSGN to serve as a forward-deployed, clandestine Small Combatant Joint Command Center.</w:t>
      </w:r>
    </w:p>
    <w:p w14:paraId="637BD61D" w14:textId="77777777" w:rsidR="004C732D" w:rsidRPr="001D096E" w:rsidRDefault="004C732D" w:rsidP="004C732D">
      <w:pPr>
        <w:shd w:val="clear" w:color="auto" w:fill="FFFFFF"/>
        <w:spacing w:after="270" w:line="270" w:lineRule="atLeast"/>
        <w:rPr>
          <w:rFonts w:cs="Arial"/>
          <w:color w:val="444444"/>
          <w:sz w:val="22"/>
          <w:szCs w:val="22"/>
        </w:rPr>
      </w:pPr>
      <w:r w:rsidRPr="001D096E">
        <w:rPr>
          <w:rFonts w:cs="Arial"/>
          <w:color w:val="444444"/>
          <w:sz w:val="22"/>
          <w:szCs w:val="22"/>
        </w:rPr>
        <w:lastRenderedPageBreak/>
        <w:t>The SSGN is a key element of the Navy's future fighting force. With its tremendous payload capacity, dual crew deployment concept, and inherent stealth, each SSGN brings mission flexibility and enhanced capabilities to the warfighter.</w:t>
      </w:r>
    </w:p>
    <w:p w14:paraId="20D21039" w14:textId="77777777" w:rsidR="004C732D" w:rsidRPr="004C732D" w:rsidRDefault="004C732D" w:rsidP="004C732D">
      <w:pPr>
        <w:numPr>
          <w:ilvl w:val="0"/>
          <w:numId w:val="1"/>
        </w:numPr>
        <w:shd w:val="clear" w:color="auto" w:fill="FFFFFF"/>
        <w:spacing w:before="100" w:beforeAutospacing="1" w:after="100" w:afterAutospacing="1" w:line="270" w:lineRule="atLeast"/>
        <w:ind w:left="630"/>
        <w:rPr>
          <w:rFonts w:cs="Arial"/>
          <w:color w:val="444444"/>
          <w:sz w:val="18"/>
          <w:szCs w:val="18"/>
        </w:rPr>
      </w:pPr>
      <w:hyperlink r:id="rId5" w:history="1">
        <w:r w:rsidRPr="004C732D">
          <w:rPr>
            <w:rFonts w:cs="Arial"/>
            <w:color w:val="028BFF"/>
            <w:sz w:val="18"/>
          </w:rPr>
          <w:t>USS Ohio</w:t>
        </w:r>
      </w:hyperlink>
    </w:p>
    <w:p w14:paraId="35C50D96" w14:textId="77777777" w:rsidR="00D70521" w:rsidRPr="004C732D" w:rsidRDefault="004C732D" w:rsidP="004C732D">
      <w:pPr>
        <w:numPr>
          <w:ilvl w:val="0"/>
          <w:numId w:val="1"/>
        </w:numPr>
        <w:shd w:val="clear" w:color="auto" w:fill="FFFFFF"/>
        <w:spacing w:before="100" w:beforeAutospacing="1" w:after="100" w:afterAutospacing="1" w:line="270" w:lineRule="atLeast"/>
        <w:ind w:left="630"/>
        <w:rPr>
          <w:rFonts w:cs="Arial"/>
          <w:color w:val="444444"/>
          <w:sz w:val="18"/>
          <w:szCs w:val="18"/>
        </w:rPr>
      </w:pPr>
      <w:hyperlink r:id="rId6" w:history="1">
        <w:r w:rsidRPr="004C732D">
          <w:rPr>
            <w:rFonts w:cs="Arial"/>
            <w:color w:val="028BFF"/>
            <w:sz w:val="18"/>
          </w:rPr>
          <w:t>USS Michigan</w:t>
        </w:r>
      </w:hyperlink>
    </w:p>
    <w:sectPr w:rsidR="00D70521" w:rsidRPr="004C732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34CE6"/>
    <w:multiLevelType w:val="multilevel"/>
    <w:tmpl w:val="B08C5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D096E"/>
    <w:rsid w:val="004C732D"/>
    <w:rsid w:val="004F3FD1"/>
    <w:rsid w:val="006F0E10"/>
    <w:rsid w:val="007C2FC7"/>
    <w:rsid w:val="008736B4"/>
    <w:rsid w:val="00D70521"/>
    <w:rsid w:val="00D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6E313A7"/>
  <w15:chartTrackingRefBased/>
  <w15:docId w15:val="{E5C86AC1-B1A9-465B-9E5C-13B17BC1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4C732D"/>
    <w:pPr>
      <w:spacing w:before="120" w:after="150" w:line="540" w:lineRule="atLeast"/>
      <w:outlineLvl w:val="1"/>
    </w:pPr>
    <w:rPr>
      <w:rFonts w:cs="Arial"/>
      <w:b/>
      <w:bCs/>
      <w:color w:val="333333"/>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732D"/>
    <w:rPr>
      <w:strike w:val="0"/>
      <w:dstrike w:val="0"/>
      <w:color w:val="028BFF"/>
      <w:u w:val="none"/>
      <w:effect w:val="none"/>
    </w:rPr>
  </w:style>
  <w:style w:type="character" w:styleId="Emphasis">
    <w:name w:val="Emphasis"/>
    <w:qFormat/>
    <w:rsid w:val="004C732D"/>
    <w:rPr>
      <w:i/>
      <w:iCs/>
    </w:rPr>
  </w:style>
  <w:style w:type="paragraph" w:styleId="NormalWeb">
    <w:name w:val="Normal (Web)"/>
    <w:basedOn w:val="Normal"/>
    <w:rsid w:val="004C732D"/>
    <w:pPr>
      <w:spacing w:after="27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783472">
      <w:bodyDiv w:val="1"/>
      <w:marLeft w:val="0"/>
      <w:marRight w:val="0"/>
      <w:marTop w:val="0"/>
      <w:marBottom w:val="0"/>
      <w:divBdr>
        <w:top w:val="none" w:sz="0" w:space="0" w:color="auto"/>
        <w:left w:val="none" w:sz="0" w:space="0" w:color="auto"/>
        <w:bottom w:val="none" w:sz="0" w:space="0" w:color="auto"/>
        <w:right w:val="none" w:sz="0" w:space="0" w:color="auto"/>
      </w:divBdr>
      <w:divsChild>
        <w:div w:id="1527602334">
          <w:marLeft w:val="0"/>
          <w:marRight w:val="0"/>
          <w:marTop w:val="0"/>
          <w:marBottom w:val="0"/>
          <w:divBdr>
            <w:top w:val="none" w:sz="0" w:space="0" w:color="auto"/>
            <w:left w:val="none" w:sz="0" w:space="0" w:color="auto"/>
            <w:bottom w:val="none" w:sz="0" w:space="0" w:color="auto"/>
            <w:right w:val="none" w:sz="0" w:space="0" w:color="auto"/>
          </w:divBdr>
          <w:divsChild>
            <w:div w:id="201333991">
              <w:marLeft w:val="0"/>
              <w:marRight w:val="0"/>
              <w:marTop w:val="0"/>
              <w:marBottom w:val="0"/>
              <w:divBdr>
                <w:top w:val="none" w:sz="0" w:space="0" w:color="auto"/>
                <w:left w:val="none" w:sz="0" w:space="0" w:color="auto"/>
                <w:bottom w:val="none" w:sz="0" w:space="0" w:color="auto"/>
                <w:right w:val="none" w:sz="0" w:space="0" w:color="auto"/>
              </w:divBdr>
              <w:divsChild>
                <w:div w:id="1998878935">
                  <w:marLeft w:val="60"/>
                  <w:marRight w:val="60"/>
                  <w:marTop w:val="0"/>
                  <w:marBottom w:val="0"/>
                  <w:divBdr>
                    <w:top w:val="none" w:sz="0" w:space="0" w:color="auto"/>
                    <w:left w:val="none" w:sz="0" w:space="0" w:color="auto"/>
                    <w:bottom w:val="none" w:sz="0" w:space="0" w:color="auto"/>
                    <w:right w:val="none" w:sz="0" w:space="0" w:color="auto"/>
                  </w:divBdr>
                  <w:divsChild>
                    <w:div w:id="1862160022">
                      <w:marLeft w:val="60"/>
                      <w:marRight w:val="60"/>
                      <w:marTop w:val="0"/>
                      <w:marBottom w:val="0"/>
                      <w:divBdr>
                        <w:top w:val="none" w:sz="0" w:space="0" w:color="auto"/>
                        <w:left w:val="none" w:sz="0" w:space="0" w:color="auto"/>
                        <w:bottom w:val="none" w:sz="0" w:space="0" w:color="auto"/>
                        <w:right w:val="none" w:sz="0" w:space="0" w:color="auto"/>
                      </w:divBdr>
                      <w:divsChild>
                        <w:div w:id="2106074311">
                          <w:marLeft w:val="60"/>
                          <w:marRight w:val="60"/>
                          <w:marTop w:val="0"/>
                          <w:marBottom w:val="0"/>
                          <w:divBdr>
                            <w:top w:val="none" w:sz="0" w:space="0" w:color="auto"/>
                            <w:left w:val="none" w:sz="0" w:space="0" w:color="auto"/>
                            <w:bottom w:val="none" w:sz="0" w:space="0" w:color="auto"/>
                            <w:right w:val="none" w:sz="0" w:space="0" w:color="auto"/>
                          </w:divBdr>
                          <w:divsChild>
                            <w:div w:id="76023435">
                              <w:marLeft w:val="60"/>
                              <w:marRight w:val="60"/>
                              <w:marTop w:val="0"/>
                              <w:marBottom w:val="0"/>
                              <w:divBdr>
                                <w:top w:val="none" w:sz="0" w:space="0" w:color="auto"/>
                                <w:left w:val="none" w:sz="0" w:space="0" w:color="auto"/>
                                <w:bottom w:val="none" w:sz="0" w:space="0" w:color="auto"/>
                                <w:right w:val="none" w:sz="0" w:space="0" w:color="auto"/>
                              </w:divBdr>
                              <w:divsChild>
                                <w:div w:id="952325530">
                                  <w:marLeft w:val="0"/>
                                  <w:marRight w:val="0"/>
                                  <w:marTop w:val="0"/>
                                  <w:marBottom w:val="0"/>
                                  <w:divBdr>
                                    <w:top w:val="none" w:sz="0" w:space="0" w:color="auto"/>
                                    <w:left w:val="none" w:sz="0" w:space="0" w:color="auto"/>
                                    <w:bottom w:val="none" w:sz="0" w:space="0" w:color="auto"/>
                                    <w:right w:val="none" w:sz="0" w:space="0" w:color="auto"/>
                                  </w:divBdr>
                                  <w:divsChild>
                                    <w:div w:id="1793790341">
                                      <w:marLeft w:val="60"/>
                                      <w:marRight w:val="60"/>
                                      <w:marTop w:val="0"/>
                                      <w:marBottom w:val="0"/>
                                      <w:divBdr>
                                        <w:top w:val="none" w:sz="0" w:space="0" w:color="auto"/>
                                        <w:left w:val="none" w:sz="0" w:space="0" w:color="auto"/>
                                        <w:bottom w:val="none" w:sz="0" w:space="0" w:color="auto"/>
                                        <w:right w:val="none" w:sz="0" w:space="0" w:color="auto"/>
                                      </w:divBdr>
                                      <w:divsChild>
                                        <w:div w:id="208826161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p.navy.mil/SUBPAC-Commands/Submarine-Squadrons/Submarine-Squadron-19/Submarines/USS-Michigan" TargetMode="External"/><Relationship Id="rId5" Type="http://schemas.openxmlformats.org/officeDocument/2006/relationships/hyperlink" Target="http://www.csp.navy.mil/oh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Guided Missile Submarines (SSGNs)</vt:lpstr>
    </vt:vector>
  </TitlesOfParts>
  <Company>DevTec Global</Company>
  <LinksUpToDate>false</LinksUpToDate>
  <CharactersWithSpaces>3673</CharactersWithSpaces>
  <SharedDoc>false</SharedDoc>
  <HLinks>
    <vt:vector size="12" baseType="variant">
      <vt:variant>
        <vt:i4>4980826</vt:i4>
      </vt:variant>
      <vt:variant>
        <vt:i4>3</vt:i4>
      </vt:variant>
      <vt:variant>
        <vt:i4>0</vt:i4>
      </vt:variant>
      <vt:variant>
        <vt:i4>5</vt:i4>
      </vt:variant>
      <vt:variant>
        <vt:lpwstr>http://www.csp.navy.mil/SUBPAC-Commands/Submarine-Squadrons/Submarine-Squadron-19/Submarines/USS-Michigan</vt:lpwstr>
      </vt:variant>
      <vt:variant>
        <vt:lpwstr/>
      </vt:variant>
      <vt:variant>
        <vt:i4>5177362</vt:i4>
      </vt:variant>
      <vt:variant>
        <vt:i4>0</vt:i4>
      </vt:variant>
      <vt:variant>
        <vt:i4>0</vt:i4>
      </vt:variant>
      <vt:variant>
        <vt:i4>5</vt:i4>
      </vt:variant>
      <vt:variant>
        <vt:lpwstr>http://www.csp.navy.mil/ohio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Missile Submarines (SSGNs)</dc:title>
  <dc:subject/>
  <dc:creator>Tino Randall</dc:creator>
  <cp:keywords/>
  <dc:description/>
  <cp:lastModifiedBy>Tino Randall</cp:lastModifiedBy>
  <cp:revision>2</cp:revision>
  <dcterms:created xsi:type="dcterms:W3CDTF">2020-11-19T21:14:00Z</dcterms:created>
  <dcterms:modified xsi:type="dcterms:W3CDTF">2020-11-19T21:14:00Z</dcterms:modified>
</cp:coreProperties>
</file>